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6" w:rsidRPr="00F17EA6" w:rsidRDefault="00F17EA6" w:rsidP="00F17EA6">
      <w:pPr>
        <w:shd w:val="clear" w:color="auto" w:fill="FFFFFF"/>
        <w:spacing w:before="192" w:after="148" w:line="240" w:lineRule="auto"/>
        <w:ind w:firstLine="709"/>
        <w:jc w:val="both"/>
        <w:outlineLvl w:val="0"/>
        <w:rPr>
          <w:rFonts w:ascii="Arial" w:eastAsia="Times New Roman" w:hAnsi="Arial" w:cs="Arial"/>
          <w:b/>
          <w:bCs/>
          <w:color w:val="111111"/>
          <w:kern w:val="36"/>
          <w:sz w:val="44"/>
          <w:szCs w:val="44"/>
          <w:lang w:eastAsia="ru-RU"/>
        </w:rPr>
      </w:pPr>
      <w:r w:rsidRPr="00F17EA6">
        <w:rPr>
          <w:rFonts w:ascii="Arial" w:eastAsia="Times New Roman" w:hAnsi="Arial" w:cs="Arial"/>
          <w:b/>
          <w:bCs/>
          <w:color w:val="111111"/>
          <w:kern w:val="36"/>
          <w:sz w:val="44"/>
          <w:szCs w:val="44"/>
          <w:lang w:eastAsia="ru-RU"/>
        </w:rPr>
        <w:t>Обучение по охране труда: 5 ответов Минтруда на горячие вопросы по применению новых правил</w:t>
      </w:r>
    </w:p>
    <w:p w:rsidR="00F17EA6" w:rsidRDefault="00F17EA6" w:rsidP="00F17EA6">
      <w:pPr>
        <w:shd w:val="clear" w:color="auto" w:fill="FFFFFF"/>
        <w:spacing w:before="168" w:after="168" w:line="240" w:lineRule="auto"/>
        <w:rPr>
          <w:rFonts w:ascii="Arial" w:eastAsia="Times New Roman" w:hAnsi="Arial" w:cs="Arial"/>
          <w:color w:val="111111"/>
          <w:sz w:val="24"/>
          <w:szCs w:val="24"/>
          <w:lang w:eastAsia="ru-RU"/>
        </w:rPr>
      </w:pPr>
    </w:p>
    <w:p w:rsidR="00F17EA6" w:rsidRPr="00F17EA6" w:rsidRDefault="00F17EA6" w:rsidP="00F17EA6">
      <w:pPr>
        <w:numPr>
          <w:ilvl w:val="0"/>
          <w:numId w:val="1"/>
        </w:numPr>
        <w:shd w:val="clear" w:color="auto" w:fill="FFFFFF"/>
        <w:spacing w:after="0" w:line="276" w:lineRule="auto"/>
        <w:ind w:left="0"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В каких случаях не требуется проводить обучение по охране труда при переводе “</w:t>
      </w:r>
      <w:proofErr w:type="spellStart"/>
      <w:r w:rsidRPr="00F17EA6">
        <w:rPr>
          <w:rFonts w:ascii="Arial" w:eastAsia="Times New Roman" w:hAnsi="Arial" w:cs="Arial"/>
          <w:color w:val="111111"/>
          <w:sz w:val="24"/>
          <w:szCs w:val="24"/>
          <w:lang w:eastAsia="ru-RU"/>
        </w:rPr>
        <w:t>офисника</w:t>
      </w:r>
      <w:proofErr w:type="spellEnd"/>
      <w:r w:rsidRPr="00F17EA6">
        <w:rPr>
          <w:rFonts w:ascii="Arial" w:eastAsia="Times New Roman" w:hAnsi="Arial" w:cs="Arial"/>
          <w:color w:val="111111"/>
          <w:sz w:val="24"/>
          <w:szCs w:val="24"/>
          <w:lang w:eastAsia="ru-RU"/>
        </w:rPr>
        <w:t>” с одного рабочего места на другое и что подразумевается под фразой “если сохраняются условия труда работника”?</w:t>
      </w:r>
    </w:p>
    <w:p w:rsidR="00F17EA6" w:rsidRPr="00F17EA6" w:rsidRDefault="00F17EA6" w:rsidP="00F17EA6">
      <w:pPr>
        <w:numPr>
          <w:ilvl w:val="0"/>
          <w:numId w:val="1"/>
        </w:numPr>
        <w:shd w:val="clear" w:color="auto" w:fill="FFFFFF"/>
        <w:spacing w:after="0" w:line="276" w:lineRule="auto"/>
        <w:ind w:left="0"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Нужно ли раз</w:t>
      </w:r>
      <w:bookmarkStart w:id="0" w:name="_GoBack"/>
      <w:bookmarkEnd w:id="0"/>
      <w:r w:rsidRPr="00F17EA6">
        <w:rPr>
          <w:rFonts w:ascii="Arial" w:eastAsia="Times New Roman" w:hAnsi="Arial" w:cs="Arial"/>
          <w:color w:val="111111"/>
          <w:sz w:val="24"/>
          <w:szCs w:val="24"/>
          <w:lang w:eastAsia="ru-RU"/>
        </w:rPr>
        <w:t>рабатывать программу обучения для каждой профессии и каждого вида работ?</w:t>
      </w:r>
    </w:p>
    <w:p w:rsidR="00F17EA6" w:rsidRPr="00F17EA6" w:rsidRDefault="00F17EA6" w:rsidP="00F17EA6">
      <w:pPr>
        <w:numPr>
          <w:ilvl w:val="0"/>
          <w:numId w:val="1"/>
        </w:numPr>
        <w:shd w:val="clear" w:color="auto" w:fill="FFFFFF"/>
        <w:spacing w:after="0" w:line="276" w:lineRule="auto"/>
        <w:ind w:left="0"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Обязательно ли регистрировать инструктаж в журнале или можно применять иные формы документов для этой цели?</w:t>
      </w:r>
    </w:p>
    <w:p w:rsidR="00F17EA6" w:rsidRPr="00F17EA6" w:rsidRDefault="00F17EA6" w:rsidP="00F17EA6">
      <w:pPr>
        <w:numPr>
          <w:ilvl w:val="0"/>
          <w:numId w:val="1"/>
        </w:numPr>
        <w:shd w:val="clear" w:color="auto" w:fill="FFFFFF"/>
        <w:spacing w:after="0" w:line="276" w:lineRule="auto"/>
        <w:ind w:left="0"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Нужно ли повторно обучать работника по первой помощи при изменении условий труда или выявлении новых опасностей?</w:t>
      </w:r>
    </w:p>
    <w:p w:rsidR="00F17EA6" w:rsidRPr="00F17EA6" w:rsidRDefault="00F17EA6" w:rsidP="00F17EA6">
      <w:pPr>
        <w:numPr>
          <w:ilvl w:val="0"/>
          <w:numId w:val="1"/>
        </w:numPr>
        <w:shd w:val="clear" w:color="auto" w:fill="FFFFFF"/>
        <w:spacing w:after="0" w:line="276" w:lineRule="auto"/>
        <w:ind w:left="0"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Какие условия необходимы для реализации программы обучения первой помощи на производстве силами работодателя?</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Ниже, приводим разъяснения, которые были даны Департаментом условий и охраны труда Минтруда России в </w:t>
      </w:r>
      <w:hyperlink r:id="rId5" w:tgtFrame="_blank" w:history="1">
        <w:r w:rsidRPr="00F17EA6">
          <w:rPr>
            <w:rFonts w:ascii="Arial" w:eastAsia="Times New Roman" w:hAnsi="Arial" w:cs="Arial"/>
            <w:color w:val="0000FF"/>
            <w:sz w:val="24"/>
            <w:szCs w:val="24"/>
            <w:u w:val="single"/>
            <w:lang w:eastAsia="ru-RU"/>
          </w:rPr>
          <w:t>письме от 30.05.2022 № 15-2/В-1677</w:t>
        </w:r>
      </w:hyperlink>
      <w:r w:rsidRPr="00F17EA6">
        <w:rPr>
          <w:rFonts w:ascii="Arial" w:eastAsia="Times New Roman" w:hAnsi="Arial" w:cs="Arial"/>
          <w:color w:val="111111"/>
          <w:sz w:val="24"/>
          <w:szCs w:val="24"/>
          <w:lang w:eastAsia="ru-RU"/>
        </w:rPr>
        <w:t> в ответ на обращение Федерации Независимых Профсоюзов России.</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1.</w:t>
      </w:r>
      <w:r w:rsidRPr="00F17EA6">
        <w:rPr>
          <w:rFonts w:ascii="Arial" w:eastAsia="Times New Roman" w:hAnsi="Arial" w:cs="Arial"/>
          <w:color w:val="111111"/>
          <w:sz w:val="24"/>
          <w:szCs w:val="24"/>
          <w:lang w:eastAsia="ru-RU"/>
        </w:rPr>
        <w:t> В соответствии с пунктом 7 </w:t>
      </w:r>
      <w:hyperlink r:id="rId6" w:tgtFrame="_blank" w:history="1">
        <w:r w:rsidRPr="00F17EA6">
          <w:rPr>
            <w:rFonts w:ascii="Arial" w:eastAsia="Times New Roman" w:hAnsi="Arial" w:cs="Arial"/>
            <w:color w:val="0000FF"/>
            <w:sz w:val="24"/>
            <w:szCs w:val="24"/>
            <w:u w:val="single"/>
            <w:lang w:eastAsia="ru-RU"/>
          </w:rPr>
          <w:t>Правил обучения по охране труда</w:t>
        </w:r>
      </w:hyperlink>
      <w:r w:rsidRPr="00F17EA6">
        <w:rPr>
          <w:rFonts w:ascii="Arial" w:eastAsia="Times New Roman" w:hAnsi="Arial" w:cs="Arial"/>
          <w:color w:val="111111"/>
          <w:sz w:val="24"/>
          <w:szCs w:val="24"/>
          <w:lang w:eastAsia="ru-RU"/>
        </w:rPr>
        <w:t>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В данном пункте под фразой “</w:t>
      </w:r>
      <w:r w:rsidRPr="00F17EA6">
        <w:rPr>
          <w:rFonts w:ascii="Arial" w:eastAsia="Times New Roman" w:hAnsi="Arial" w:cs="Arial"/>
          <w:i/>
          <w:iCs/>
          <w:color w:val="111111"/>
          <w:sz w:val="24"/>
          <w:szCs w:val="24"/>
          <w:lang w:eastAsia="ru-RU"/>
        </w:rPr>
        <w:t>если сохраняются условия труда работника</w:t>
      </w:r>
      <w:r w:rsidRPr="00F17EA6">
        <w:rPr>
          <w:rFonts w:ascii="Arial" w:eastAsia="Times New Roman" w:hAnsi="Arial" w:cs="Arial"/>
          <w:color w:val="111111"/>
          <w:sz w:val="24"/>
          <w:szCs w:val="24"/>
          <w:lang w:eastAsia="ru-RU"/>
        </w:rPr>
        <w:t>” следует понимать условия рабочего места работника и оборудование, с которым работник работает. В этой связи полагаем, что в случае, указанном в вопросе № 1 вашего обращения, повторное обучение по охране труда и проверка знания требований охраны труда в отношении офисного работника не требуется.</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2.</w:t>
      </w:r>
      <w:r w:rsidRPr="00F17EA6">
        <w:rPr>
          <w:rFonts w:ascii="Arial" w:eastAsia="Times New Roman" w:hAnsi="Arial" w:cs="Arial"/>
          <w:color w:val="111111"/>
          <w:sz w:val="24"/>
          <w:szCs w:val="24"/>
          <w:lang w:eastAsia="ru-RU"/>
        </w:rPr>
        <w:t> В соответствии с пунктом 18 Правил инструктаж по охране труда на рабочем месте проводится в объёме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Следует отметить, что инструкция по охране труда для работника разрабатывается исходя из его должности или профессии, направления трудовой деятельности или вида выполняемой работы.</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 xml:space="preserve">В этой связи полагаем, что для проведения инструктажа по охране труда на рабочем месте работодателю следует разработать программу инструктажа по охране труда на рабочем месте, которая также должна разрабатываться исходя из профессии (должности) работника и характера выполняемых им работ. При </w:t>
      </w:r>
      <w:r w:rsidRPr="00F17EA6">
        <w:rPr>
          <w:rFonts w:ascii="Arial" w:eastAsia="Times New Roman" w:hAnsi="Arial" w:cs="Arial"/>
          <w:color w:val="111111"/>
          <w:sz w:val="24"/>
          <w:szCs w:val="24"/>
          <w:lang w:eastAsia="ru-RU"/>
        </w:rPr>
        <w:lastRenderedPageBreak/>
        <w:t xml:space="preserve">разработке программы первичного инструктажа по охране труда на рабочем месте допускается применение работодателем рекомендаций к разработке программы первичного инструктажа по охране труда на рабочем месте, содержащихся в “ГОСТ 12.0.004-2015. Межгосударственный стандарт. Система стандартов безопасности труда. Организация обучения безопасности труда. Общие положения” введённым в действие приказом </w:t>
      </w:r>
      <w:proofErr w:type="spellStart"/>
      <w:r w:rsidRPr="00F17EA6">
        <w:rPr>
          <w:rFonts w:ascii="Arial" w:eastAsia="Times New Roman" w:hAnsi="Arial" w:cs="Arial"/>
          <w:color w:val="111111"/>
          <w:sz w:val="24"/>
          <w:szCs w:val="24"/>
          <w:lang w:eastAsia="ru-RU"/>
        </w:rPr>
        <w:t>Росстандарта</w:t>
      </w:r>
      <w:proofErr w:type="spellEnd"/>
      <w:r w:rsidRPr="00F17EA6">
        <w:rPr>
          <w:rFonts w:ascii="Arial" w:eastAsia="Times New Roman" w:hAnsi="Arial" w:cs="Arial"/>
          <w:color w:val="111111"/>
          <w:sz w:val="24"/>
          <w:szCs w:val="24"/>
          <w:lang w:eastAsia="ru-RU"/>
        </w:rPr>
        <w:t xml:space="preserve"> от 9 июня 2016 г. № 600-ст.</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3.</w:t>
      </w:r>
      <w:r w:rsidRPr="00F17EA6">
        <w:rPr>
          <w:rFonts w:ascii="Arial" w:eastAsia="Times New Roman" w:hAnsi="Arial" w:cs="Arial"/>
          <w:color w:val="111111"/>
          <w:sz w:val="24"/>
          <w:szCs w:val="24"/>
          <w:lang w:eastAsia="ru-RU"/>
        </w:rPr>
        <w:t> В соответствии с пунктом 23 Правил инструктаж по охране труда заканчивается проверкой знаний требований охраны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При этом пунктом 69 Правил установлено, что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Пунктом 87 Правил определена информация, которая должна быть отражена при регистрации инструктажа по охране труда на рабочем месте.</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При этом согласно пункту 88 Правил порядок регистрации проведённого инструктажа по охране труда и форма его документирования утверждается работодателем.</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В этой связи с 1 сентября 2022 г. на усмотрение работодателя взамен журнала регистрации инструктажа по охране труда, установленного действующим Порядком, допускается вести, например, личные книжки работника или иной способ документирования проведённого инструктажа по охране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Обращаем внимание, что 22 ноября 2021 г. вступил в силу (за исключением отдельных положений) Федеральный закон № 377-ФЗ “О внесении изменений в Трудовой кодекс Российской Федерации” (далее – Федеральный закон № 377-ФЗ). Согласно изменениям, внесёнными Федеральным законом № 377-ФЗ, Трудовой кодекс Российской Федерации (далее – Кодекс) дополнен статьями 22.1, 22.2 и 22.3, предусматривающими возможность ведения электронного документооборота в сфере трудовых отношений. При этом положения данных статей не применяются в отношении документов, подтверждающих прохождение работником инструктажей по охране труда, в том числе лично подписываемых работником.</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4.</w:t>
      </w:r>
      <w:r w:rsidRPr="00F17EA6">
        <w:rPr>
          <w:rFonts w:ascii="Arial" w:eastAsia="Times New Roman" w:hAnsi="Arial" w:cs="Arial"/>
          <w:color w:val="111111"/>
          <w:sz w:val="24"/>
          <w:szCs w:val="24"/>
          <w:lang w:eastAsia="ru-RU"/>
        </w:rPr>
        <w:t> В случае, если при переводе работника с одной работы на другую, условия труда на рабочем месте изменились и по результатам определения профессиональных рисков и опасностей, характерных для работ, выполняемых работником соответствующей должности, профессии выявлены опасности, которые могут наступить при выполнении трудовых обязанностей, то такому работнику следует повторно пройти обучение по оказанию первой помощи пострадавшим.</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5.</w:t>
      </w:r>
      <w:r w:rsidRPr="00F17EA6">
        <w:rPr>
          <w:rFonts w:ascii="Arial" w:eastAsia="Times New Roman" w:hAnsi="Arial" w:cs="Arial"/>
          <w:color w:val="111111"/>
          <w:sz w:val="24"/>
          <w:szCs w:val="24"/>
          <w:lang w:eastAsia="ru-RU"/>
        </w:rPr>
        <w:t> Пунктами 52 и 53 Правил определены категории работников, которые должны проходить обучение требованиям охраны труда по программе обучения безопасным методам и приёмам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вне зависимости от наличия источников опасности или вредного фактора.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6.</w:t>
      </w:r>
      <w:r w:rsidRPr="00F17EA6">
        <w:rPr>
          <w:rFonts w:ascii="Arial" w:eastAsia="Times New Roman" w:hAnsi="Arial" w:cs="Arial"/>
          <w:color w:val="111111"/>
          <w:sz w:val="24"/>
          <w:szCs w:val="24"/>
          <w:lang w:eastAsia="ru-RU"/>
        </w:rPr>
        <w:t> Согласно пункту 54 Правил,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w:t>
      </w:r>
      <w:r w:rsidRPr="00F17EA6">
        <w:rPr>
          <w:rFonts w:ascii="Arial" w:eastAsia="Times New Roman" w:hAnsi="Arial" w:cs="Arial"/>
          <w:color w:val="111111"/>
          <w:sz w:val="24"/>
          <w:szCs w:val="24"/>
          <w:lang w:eastAsia="ru-RU"/>
        </w:rPr>
        <w:lastRenderedPageBreak/>
        <w:t>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Положения пункта 54 Правил относятся к следующим категориям работников:</w:t>
      </w:r>
    </w:p>
    <w:p w:rsidR="00F17EA6" w:rsidRPr="00F17EA6" w:rsidRDefault="00F17EA6" w:rsidP="00F17EA6">
      <w:pPr>
        <w:numPr>
          <w:ilvl w:val="0"/>
          <w:numId w:val="2"/>
        </w:numPr>
        <w:shd w:val="clear" w:color="auto" w:fill="FFFFFF"/>
        <w:spacing w:after="0" w:line="276" w:lineRule="auto"/>
        <w:ind w:left="0"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работники организации, отнесённым к категории специалисты;</w:t>
      </w:r>
    </w:p>
    <w:p w:rsidR="00F17EA6" w:rsidRPr="00F17EA6" w:rsidRDefault="00F17EA6" w:rsidP="00F17EA6">
      <w:pPr>
        <w:numPr>
          <w:ilvl w:val="0"/>
          <w:numId w:val="2"/>
        </w:numPr>
        <w:shd w:val="clear" w:color="auto" w:fill="FFFFFF"/>
        <w:spacing w:after="0" w:line="276" w:lineRule="auto"/>
        <w:ind w:left="0"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руководители структурных подразделений организации и их заместители, руководители структурных подразделений филиала и их заместители.</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или первичного инструктажа по охране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Также следует отметить, что в соответствии со статьёй 209.1 Кодекса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7.</w:t>
      </w:r>
      <w:r w:rsidRPr="00F17EA6">
        <w:rPr>
          <w:rFonts w:ascii="Arial" w:eastAsia="Times New Roman" w:hAnsi="Arial" w:cs="Arial"/>
          <w:color w:val="111111"/>
          <w:sz w:val="24"/>
          <w:szCs w:val="24"/>
          <w:lang w:eastAsia="ru-RU"/>
        </w:rPr>
        <w:t> В соответствии с пунктом 59 Правил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Пунктами 52 и 53 Правил определены категории работников, которые проходят обучение по программам обучения требованиям охраны труда, указанным в подпунктах «а» и «б» пункта 46 Правил. К данной категории относятся как руководители и специалисты, так и работники рабочих профессий, которые проходят обучение требованиям охраны труда с периодичностью не реже одного раза в 3 года.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b/>
          <w:bCs/>
          <w:color w:val="111111"/>
          <w:sz w:val="24"/>
          <w:szCs w:val="24"/>
          <w:lang w:eastAsia="ru-RU"/>
        </w:rPr>
        <w:t>8.</w:t>
      </w:r>
      <w:r w:rsidRPr="00F17EA6">
        <w:rPr>
          <w:rFonts w:ascii="Arial" w:eastAsia="Times New Roman" w:hAnsi="Arial" w:cs="Arial"/>
          <w:color w:val="111111"/>
          <w:sz w:val="24"/>
          <w:szCs w:val="24"/>
          <w:lang w:eastAsia="ru-RU"/>
        </w:rPr>
        <w:t> Пунктом 96 Правил определено,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lastRenderedPageBreak/>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б) учебно-методическую базу в виде программ обучения по охране труда и учебных материалов для каждой программы обучения по охране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г) комиссию по проверке знания требований охраны труда, сформированную в соответствии с положениями раздела VII Правил.</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Содержание требований к материально-технической базе в виде программ обучения по охране труда и учебных материалов состоит из вида выполняемых работ работником и требований, установленными соответствующими нормативными актами по правилам безопасности выполнения соответствующих работ.</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В соответствии с пунктом 44 Правил работники, проводящие инструктаж по охране труда и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Кроме того, Правилами установлены отдельные требования к лицам, проводящим обучение по охране труда в зависимости от вида, оказываемого обучения.</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Так, например, из положений пункта 35 Правил следует,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объёме не менее 8 часов и в соответствии с примерными перечнями тем, предусмотренными приложением № 2, и подготовку по программам дополнительного профессионального образования повышения квалификации по подготовке преподавателей, обучающих приёмам оказания первой помощи.</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С учётом изложенного поясняем, что в целях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установленными пунктом 35 Правил.</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Также сообщаем, что пунктом 40 Правил установлено, что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F17EA6" w:rsidRPr="00F17EA6" w:rsidRDefault="00F17EA6" w:rsidP="00F17EA6">
      <w:pPr>
        <w:shd w:val="clear" w:color="auto" w:fill="FFFFFF"/>
        <w:spacing w:after="0" w:line="276" w:lineRule="auto"/>
        <w:ind w:firstLine="709"/>
        <w:jc w:val="both"/>
        <w:rPr>
          <w:rFonts w:ascii="Arial" w:eastAsia="Times New Roman" w:hAnsi="Arial" w:cs="Arial"/>
          <w:color w:val="111111"/>
          <w:sz w:val="24"/>
          <w:szCs w:val="24"/>
          <w:lang w:eastAsia="ru-RU"/>
        </w:rPr>
      </w:pPr>
      <w:r w:rsidRPr="00F17EA6">
        <w:rPr>
          <w:rFonts w:ascii="Arial" w:eastAsia="Times New Roman" w:hAnsi="Arial" w:cs="Arial"/>
          <w:color w:val="111111"/>
          <w:sz w:val="24"/>
          <w:szCs w:val="24"/>
          <w:lang w:eastAsia="ru-RU"/>
        </w:rPr>
        <w:t xml:space="preserve">В случае отсутствия в штате организации 2 лиц, проводящих обучение по охране труда, в целях организации обучения по охране труда (без привлечения организаций и индивидуальных предпринимателей, оказывающих услуги по обучению работодателей и работников вопросам охраны труда) работодатель </w:t>
      </w:r>
      <w:r w:rsidRPr="00F17EA6">
        <w:rPr>
          <w:rFonts w:ascii="Arial" w:eastAsia="Times New Roman" w:hAnsi="Arial" w:cs="Arial"/>
          <w:color w:val="111111"/>
          <w:sz w:val="24"/>
          <w:szCs w:val="24"/>
          <w:lang w:eastAsia="ru-RU"/>
        </w:rPr>
        <w:lastRenderedPageBreak/>
        <w:t>вправе заключить договор гражданско-правового характера с соответствующими специалистами.</w:t>
      </w:r>
    </w:p>
    <w:p w:rsidR="00D44163" w:rsidRDefault="00D44163"/>
    <w:sectPr w:rsidR="00D44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9D6"/>
    <w:multiLevelType w:val="multilevel"/>
    <w:tmpl w:val="AF46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464A64"/>
    <w:multiLevelType w:val="multilevel"/>
    <w:tmpl w:val="3C92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6"/>
    <w:rsid w:val="00366EA5"/>
    <w:rsid w:val="00D44163"/>
    <w:rsid w:val="00F1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E6AC"/>
  <w15:chartTrackingRefBased/>
  <w15:docId w15:val="{6385A674-338D-44CA-8157-C08E85B2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8027">
      <w:bodyDiv w:val="1"/>
      <w:marLeft w:val="0"/>
      <w:marRight w:val="0"/>
      <w:marTop w:val="0"/>
      <w:marBottom w:val="0"/>
      <w:divBdr>
        <w:top w:val="none" w:sz="0" w:space="0" w:color="auto"/>
        <w:left w:val="none" w:sz="0" w:space="0" w:color="auto"/>
        <w:bottom w:val="none" w:sz="0" w:space="0" w:color="auto"/>
        <w:right w:val="none" w:sz="0" w:space="0" w:color="auto"/>
      </w:divBdr>
    </w:div>
    <w:div w:id="1519155076">
      <w:bodyDiv w:val="1"/>
      <w:marLeft w:val="0"/>
      <w:marRight w:val="0"/>
      <w:marTop w:val="0"/>
      <w:marBottom w:val="0"/>
      <w:divBdr>
        <w:top w:val="none" w:sz="0" w:space="0" w:color="auto"/>
        <w:left w:val="none" w:sz="0" w:space="0" w:color="auto"/>
        <w:bottom w:val="none" w:sz="0" w:space="0" w:color="auto"/>
        <w:right w:val="none" w:sz="0" w:space="0" w:color="auto"/>
      </w:divBdr>
      <w:divsChild>
        <w:div w:id="1142313638">
          <w:marLeft w:val="0"/>
          <w:marRight w:val="0"/>
          <w:marTop w:val="192"/>
          <w:marBottom w:val="360"/>
          <w:divBdr>
            <w:top w:val="none" w:sz="0" w:space="0" w:color="auto"/>
            <w:left w:val="none" w:sz="0" w:space="0" w:color="auto"/>
            <w:bottom w:val="none" w:sz="0" w:space="0" w:color="auto"/>
            <w:right w:val="none" w:sz="0" w:space="0" w:color="auto"/>
          </w:divBdr>
          <w:divsChild>
            <w:div w:id="265701453">
              <w:marLeft w:val="0"/>
              <w:marRight w:val="0"/>
              <w:marTop w:val="300"/>
              <w:marBottom w:val="300"/>
              <w:divBdr>
                <w:top w:val="single" w:sz="6" w:space="15" w:color="45CA38"/>
                <w:left w:val="single" w:sz="6" w:space="15" w:color="45CA38"/>
                <w:bottom w:val="single" w:sz="6" w:space="15" w:color="45CA38"/>
                <w:right w:val="single" w:sz="6" w:space="15" w:color="45CA38"/>
              </w:divBdr>
              <w:divsChild>
                <w:div w:id="1237858565">
                  <w:marLeft w:val="0"/>
                  <w:marRight w:val="0"/>
                  <w:marTop w:val="0"/>
                  <w:marBottom w:val="0"/>
                  <w:divBdr>
                    <w:top w:val="none" w:sz="0" w:space="0" w:color="auto"/>
                    <w:left w:val="none" w:sz="0" w:space="0" w:color="auto"/>
                    <w:bottom w:val="none" w:sz="0" w:space="0" w:color="auto"/>
                    <w:right w:val="none" w:sz="0" w:space="0" w:color="auto"/>
                  </w:divBdr>
                  <w:divsChild>
                    <w:div w:id="18032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9953">
              <w:marLeft w:val="0"/>
              <w:marRight w:val="0"/>
              <w:marTop w:val="300"/>
              <w:marBottom w:val="300"/>
              <w:divBdr>
                <w:top w:val="single" w:sz="6" w:space="15" w:color="F2A643"/>
                <w:left w:val="single" w:sz="6" w:space="15" w:color="F2A643"/>
                <w:bottom w:val="single" w:sz="6" w:space="15" w:color="F2A643"/>
                <w:right w:val="single" w:sz="6" w:space="15" w:color="F2A643"/>
              </w:divBdr>
              <w:divsChild>
                <w:div w:id="187524871">
                  <w:marLeft w:val="0"/>
                  <w:marRight w:val="0"/>
                  <w:marTop w:val="0"/>
                  <w:marBottom w:val="0"/>
                  <w:divBdr>
                    <w:top w:val="none" w:sz="0" w:space="0" w:color="auto"/>
                    <w:left w:val="none" w:sz="0" w:space="0" w:color="auto"/>
                    <w:bottom w:val="none" w:sz="0" w:space="0" w:color="auto"/>
                    <w:right w:val="none" w:sz="0" w:space="0" w:color="auto"/>
                  </w:divBdr>
                  <w:divsChild>
                    <w:div w:id="10337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796">
              <w:marLeft w:val="0"/>
              <w:marRight w:val="0"/>
              <w:marTop w:val="300"/>
              <w:marBottom w:val="300"/>
              <w:divBdr>
                <w:top w:val="single" w:sz="6" w:space="15" w:color="A26BF9"/>
                <w:left w:val="single" w:sz="6" w:space="15" w:color="A26BF9"/>
                <w:bottom w:val="single" w:sz="6" w:space="15" w:color="A26BF9"/>
                <w:right w:val="single" w:sz="6" w:space="15" w:color="A26BF9"/>
              </w:divBdr>
              <w:divsChild>
                <w:div w:id="1155416900">
                  <w:marLeft w:val="0"/>
                  <w:marRight w:val="0"/>
                  <w:marTop w:val="0"/>
                  <w:marBottom w:val="0"/>
                  <w:divBdr>
                    <w:top w:val="none" w:sz="0" w:space="0" w:color="auto"/>
                    <w:left w:val="none" w:sz="0" w:space="0" w:color="auto"/>
                    <w:bottom w:val="none" w:sz="0" w:space="0" w:color="auto"/>
                    <w:right w:val="none" w:sz="0" w:space="0" w:color="auto"/>
                  </w:divBdr>
                  <w:divsChild>
                    <w:div w:id="20090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sbbilafpyxcf8a.xn--p1ai/npa/%d0%bf%d0%be%d1%81%d1%82%d0%b0%d0%bd%d0%be%d0%b2%d0%bb%d0%b5%d0%bd%d0%b8%d0%b5-2464.html" TargetMode="External"/><Relationship Id="rId5" Type="http://schemas.openxmlformats.org/officeDocument/2006/relationships/hyperlink" Target="https://bi-file.ru/archive/15-2-v-16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2022-07-19T23:49:00Z</dcterms:created>
  <dcterms:modified xsi:type="dcterms:W3CDTF">2022-07-20T00:00:00Z</dcterms:modified>
</cp:coreProperties>
</file>